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3"/>
      </w:tblGrid>
      <w:tr w:rsidR="00D349F4">
        <w:tc>
          <w:tcPr>
            <w:tcW w:w="9943" w:type="dxa"/>
          </w:tcPr>
          <w:p w:rsidR="00D349F4" w:rsidRDefault="00D349F4">
            <w:pPr>
              <w:pStyle w:val="Anexos1"/>
              <w:spacing w:line="240" w:lineRule="auto"/>
              <w:outlineLvl w:val="0"/>
            </w:pPr>
            <w:bookmarkStart w:id="0" w:name="_GoBack"/>
            <w:bookmarkEnd w:id="0"/>
            <w:r>
              <w:t>ANEXO 7</w:t>
            </w:r>
          </w:p>
        </w:tc>
      </w:tr>
      <w:tr w:rsidR="00D349F4">
        <w:tc>
          <w:tcPr>
            <w:tcW w:w="9943" w:type="dxa"/>
          </w:tcPr>
          <w:p w:rsidR="00D349F4" w:rsidRDefault="00D349F4">
            <w:pPr>
              <w:pStyle w:val="Anexos1"/>
              <w:spacing w:line="240" w:lineRule="auto"/>
              <w:outlineLvl w:val="0"/>
            </w:pPr>
            <w:r>
              <w:t>GERENCIAMENTO DE ANORMALIDADES DA REDE</w:t>
            </w:r>
          </w:p>
        </w:tc>
      </w:tr>
    </w:tbl>
    <w:p w:rsidR="00D349F4" w:rsidRDefault="00D349F4">
      <w:pPr>
        <w:pStyle w:val="Ttulo1"/>
        <w:numPr>
          <w:ilvl w:val="0"/>
          <w:numId w:val="2"/>
        </w:numPr>
      </w:pPr>
      <w:r>
        <w:t>CLÁUSULA PRIMEIRA</w:t>
      </w:r>
    </w:p>
    <w:p w:rsidR="00D349F4" w:rsidRDefault="00D349F4">
      <w:pPr>
        <w:pStyle w:val="Ttulo2"/>
        <w:numPr>
          <w:ilvl w:val="1"/>
          <w:numId w:val="2"/>
        </w:numPr>
      </w:pPr>
      <w:r>
        <w:t xml:space="preserve">As PARTES reconhecem que é de seu mútuo interesse estabelecer um processo eficiente e efetivo para comunicar e resolver as anormalidades de rede que repercutam na outra PARTE. </w:t>
      </w:r>
    </w:p>
    <w:p w:rsidR="00D349F4" w:rsidRDefault="00D349F4">
      <w:pPr>
        <w:pStyle w:val="Ttulo3"/>
        <w:numPr>
          <w:ilvl w:val="2"/>
          <w:numId w:val="2"/>
        </w:numPr>
      </w:pPr>
      <w:r>
        <w:t>As PARTES implementarão um processo de Gerenciamento de Anormalidades de Rede para prontamente comunicar, monitorar e resolver as falhas da rede ou degradação de serviços, conforme definido no Apêndice A do presente ANEXO 7.</w:t>
      </w:r>
    </w:p>
    <w:p w:rsidR="00D349F4" w:rsidRDefault="00D349F4">
      <w:pPr>
        <w:pStyle w:val="Ttulo2"/>
        <w:numPr>
          <w:ilvl w:val="1"/>
          <w:numId w:val="2"/>
        </w:numPr>
      </w:pPr>
      <w:r>
        <w:t xml:space="preserve">Não obstante os métodos e procedimentos definidos no Apêndice A, as PARTES trabalharão em regime de cooperação para efetuar um aperfeiçoamento contínuo na administração deste processo de Gerenciamento de Anormalidades de Rede. </w:t>
      </w:r>
    </w:p>
    <w:p w:rsidR="00D349F4" w:rsidRDefault="00D349F4">
      <w:pPr>
        <w:pStyle w:val="Ttulo3"/>
        <w:numPr>
          <w:ilvl w:val="2"/>
          <w:numId w:val="2"/>
        </w:numPr>
      </w:pPr>
      <w:r>
        <w:t>A qualquer momento durante vigência do presente ANEXO, qualquer uma das PARTES poderá solicitar modificações específicas nesses processos, que não poderão ser recusadas pela outra PARTE sem um motivo justo.</w:t>
      </w:r>
    </w:p>
    <w:p w:rsidR="00D349F4" w:rsidRDefault="00D349F4">
      <w:pPr>
        <w:pStyle w:val="Ttulo2"/>
        <w:numPr>
          <w:ilvl w:val="1"/>
          <w:numId w:val="2"/>
        </w:numPr>
      </w:pPr>
      <w:r>
        <w:t xml:space="preserve">As PARTES priorizarão o gerenciamento de anormalidades, no caso de diversas anormalidades serem notificadas simultaneamente. </w:t>
      </w:r>
    </w:p>
    <w:p w:rsidR="00D349F4" w:rsidRDefault="00D349F4">
      <w:pPr>
        <w:pStyle w:val="Ttulo3"/>
        <w:numPr>
          <w:ilvl w:val="2"/>
          <w:numId w:val="2"/>
        </w:numPr>
      </w:pPr>
      <w:r>
        <w:t xml:space="preserve">Em nenhum caso a PARTE que recebeu a notificação de anormalidades tirará vantagem para si, seus Usuários Finais ou qualquer outro provedor de Serviços de Telecomunicações com relação a PARTE reclamante das anormalidades, em sua alocação de recursos para detectar e corrigir as anormalidades. </w:t>
      </w:r>
    </w:p>
    <w:p w:rsidR="00D349F4" w:rsidRDefault="00D349F4">
      <w:pPr>
        <w:pStyle w:val="Ttulo2"/>
        <w:numPr>
          <w:ilvl w:val="1"/>
          <w:numId w:val="2"/>
        </w:numPr>
      </w:pPr>
      <w:r>
        <w:t>As PARTES acordarão um processo de acompanhamento de notificação de anormalidades que disponha de uma identificação única que seja utilizada por ambas as PARTES. Esta identificação será utilizada para referenciar a uma anormalidade específica, minimizando, assim, possíveis confusões ou problemas de comunicação.</w:t>
      </w:r>
    </w:p>
    <w:p w:rsidR="00D349F4" w:rsidRDefault="00D349F4">
      <w:pPr>
        <w:pStyle w:val="Ttulo3"/>
        <w:numPr>
          <w:ilvl w:val="2"/>
          <w:numId w:val="2"/>
        </w:numPr>
      </w:pPr>
      <w:r>
        <w:t>A PARTE que recebeu a notificação de anormalidade deverá encaminhá-la imediatamente a um órgão responsável, para resolver a anormalidade.</w:t>
      </w:r>
    </w:p>
    <w:p w:rsidR="00D349F4" w:rsidRDefault="00D349F4">
      <w:pPr>
        <w:pStyle w:val="Ttulo3"/>
        <w:numPr>
          <w:ilvl w:val="2"/>
          <w:numId w:val="2"/>
        </w:numPr>
      </w:pPr>
      <w:r>
        <w:t>As PARTES estabelecerão tempos padrões para a detecção e notificação da situação da anormalidade, com base no nível de prioridade estabelecido entre as PARTES.</w:t>
      </w:r>
    </w:p>
    <w:p w:rsidR="00D349F4" w:rsidRDefault="00D349F4">
      <w:pPr>
        <w:pStyle w:val="Ttulo2"/>
        <w:numPr>
          <w:ilvl w:val="1"/>
          <w:numId w:val="2"/>
        </w:numPr>
      </w:pPr>
      <w:r>
        <w:t>A PARTE reclamante deverá ser notificada imediatamente após a PARTE reclamada tiver resolvido a anormalidade. A anormalidade não será considerada solucionada até que a PARTE reclamante confirme sua solução.</w:t>
      </w:r>
    </w:p>
    <w:p w:rsidR="00D349F4" w:rsidRDefault="00D349F4">
      <w:pPr>
        <w:pStyle w:val="Ttulo2"/>
        <w:numPr>
          <w:ilvl w:val="1"/>
          <w:numId w:val="2"/>
        </w:numPr>
      </w:pPr>
      <w:r>
        <w:t>Cada uma das PARTES fornecerá à outra, em um prazo de até 90 (noventa) dias contados a partir da data de entrada em vigor do presente Contrato, uma lista hierárquica de responsáveis e respectivos procedimentos de encaminhamento, no caso de serem necessárias providências de nível mais elevado.</w:t>
      </w:r>
    </w:p>
    <w:p w:rsidR="00D349F4" w:rsidRDefault="00D349F4">
      <w:pPr>
        <w:pStyle w:val="Ttulo2"/>
        <w:numPr>
          <w:ilvl w:val="1"/>
          <w:numId w:val="2"/>
        </w:numPr>
      </w:pPr>
      <w:r>
        <w:t xml:space="preserve">As PARTES acordam em avaliar a situação das notificações de anormalidades de rede mensalmente a menos que outra periodicidade venha a ser acordada entre as PARTES. </w:t>
      </w:r>
    </w:p>
    <w:p w:rsidR="00D349F4" w:rsidRDefault="00D349F4">
      <w:pPr>
        <w:pStyle w:val="Ttulo3"/>
        <w:numPr>
          <w:ilvl w:val="2"/>
          <w:numId w:val="2"/>
        </w:numPr>
      </w:pPr>
      <w:r>
        <w:t>A PARTE que recebeu a notificação de anormalidade emitirá um relatório com a situação de todas as notificações do período do relatório. Deverá incluir o contato da reclamante, o tipo, a localização e o nível de prioridade, o órgão responsável pela solução e o prazo para solução (especificando data e horário de recebimento e data e horário de fechamento).</w:t>
      </w:r>
    </w:p>
    <w:p w:rsidR="00D349F4" w:rsidRDefault="00D349F4">
      <w:pPr>
        <w:pStyle w:val="Ttulo2"/>
        <w:numPr>
          <w:ilvl w:val="1"/>
          <w:numId w:val="2"/>
        </w:numPr>
      </w:pPr>
      <w:r>
        <w:lastRenderedPageBreak/>
        <w:t xml:space="preserve">As PARTES acordam em estabelecer, em um período de até 90 (noventa) dias contados a partir da data da entrada em vigor do presente Contrato, as obrigações em relação à manutenção de serviços e intervalos entre reparos, incluindo medidas de desempenho tais como: tempo médio de reparo, tempo máximo de reparo, falhas repetidas e novas falhas de circuito. </w:t>
      </w:r>
    </w:p>
    <w:p w:rsidR="00D349F4" w:rsidRDefault="00D349F4">
      <w:pPr>
        <w:pStyle w:val="Ttulo2"/>
        <w:numPr>
          <w:ilvl w:val="1"/>
          <w:numId w:val="2"/>
        </w:numPr>
      </w:pPr>
      <w:r>
        <w:t>As PARTES reconhecem que a manutenção da rede exigirá que as duas PARTES coordenem periodicamente testes sistemáticos. As PARTES acordam em negociar os mencionados testes, seus métodos e procedimentos, e sua atualização conforme possa ser solicitado periodicamente pela outra PARTE.</w:t>
      </w:r>
    </w:p>
    <w:p w:rsidR="00D349F4" w:rsidRDefault="00D349F4">
      <w:pPr>
        <w:sectPr w:rsidR="00D349F4">
          <w:headerReference w:type="default" r:id="rId8"/>
          <w:footerReference w:type="default" r:id="rId9"/>
          <w:pgSz w:w="12242" w:h="15842" w:code="1"/>
          <w:pgMar w:top="1134" w:right="851" w:bottom="1134" w:left="1588" w:header="680" w:footer="794" w:gutter="0"/>
          <w:paperSrc w:first="7" w:other="7"/>
          <w:cols w:space="720"/>
        </w:sectPr>
      </w:pPr>
    </w:p>
    <w:p w:rsidR="00D349F4" w:rsidRDefault="00D349F4"/>
    <w:sectPr w:rsidR="00D349F4">
      <w:headerReference w:type="default" r:id="rId10"/>
      <w:type w:val="continuous"/>
      <w:pgSz w:w="12242" w:h="15842" w:code="1"/>
      <w:pgMar w:top="1134" w:right="851" w:bottom="1134" w:left="1588" w:header="680" w:footer="79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157" w:rsidRDefault="00F24157">
      <w:r>
        <w:separator/>
      </w:r>
    </w:p>
  </w:endnote>
  <w:endnote w:type="continuationSeparator" w:id="0">
    <w:p w:rsidR="00F24157" w:rsidRDefault="00F2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9F4" w:rsidRDefault="00BB7C08" w:rsidP="00BB7C08">
    <w:pPr>
      <w:pStyle w:val="Rodap"/>
      <w:pBdr>
        <w:top w:val="single" w:sz="4" w:space="1" w:color="auto"/>
      </w:pBdr>
      <w:jc w:val="center"/>
    </w:pPr>
    <w:r>
      <w:t xml:space="preserve">Página </w:t>
    </w:r>
    <w:r>
      <w:fldChar w:fldCharType="begin"/>
    </w:r>
    <w:r>
      <w:instrText xml:space="preserve"> PAGE </w:instrText>
    </w:r>
    <w:r>
      <w:fldChar w:fldCharType="separate"/>
    </w:r>
    <w:r w:rsidR="0067050D">
      <w:rPr>
        <w:noProof/>
      </w:rPr>
      <w:t>1</w:t>
    </w:r>
    <w:r>
      <w:fldChar w:fldCharType="end"/>
    </w:r>
    <w:r>
      <w:t xml:space="preserve"> de </w:t>
    </w:r>
    <w:r w:rsidR="00F24157">
      <w:fldChar w:fldCharType="begin"/>
    </w:r>
    <w:r w:rsidR="00F24157">
      <w:instrText xml:space="preserve"> NUMPAGES </w:instrText>
    </w:r>
    <w:r w:rsidR="00F24157">
      <w:fldChar w:fldCharType="separate"/>
    </w:r>
    <w:r w:rsidR="0067050D">
      <w:rPr>
        <w:noProof/>
      </w:rPr>
      <w:t>2</w:t>
    </w:r>
    <w:r w:rsidR="00F24157">
      <w:rPr>
        <w:noProof/>
      </w:rPr>
      <w:fldChar w:fldCharType="end"/>
    </w:r>
  </w:p>
  <w:p w:rsidR="00D349F4" w:rsidRDefault="00D349F4">
    <w:pPr>
      <w:pStyle w:val="Rodap"/>
      <w:pBdr>
        <w:top w:val="none" w:sz="0" w:space="0" w:color="auto"/>
      </w:pBdr>
      <w:rPr>
        <w:b/>
        <w:i/>
      </w:rPr>
    </w:pPr>
  </w:p>
  <w:p w:rsidR="00D349F4" w:rsidRDefault="00D349F4">
    <w:pPr>
      <w:pStyle w:val="Rodap"/>
      <w:pBdr>
        <w:top w:val="none" w:sz="0" w:space="0" w:color="auto"/>
      </w:pBdr>
      <w:rPr>
        <w:rStyle w:val="Nmerodepgina"/>
      </w:rPr>
    </w:pPr>
  </w:p>
  <w:p w:rsidR="00D349F4" w:rsidRDefault="00D349F4">
    <w:pPr>
      <w:pStyle w:val="Rodap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157" w:rsidRDefault="00F24157">
      <w:r>
        <w:separator/>
      </w:r>
    </w:p>
  </w:footnote>
  <w:footnote w:type="continuationSeparator" w:id="0">
    <w:p w:rsidR="00F24157" w:rsidRDefault="00F24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8C3" w:rsidRDefault="009848C3" w:rsidP="009848C3">
    <w:pPr>
      <w:pStyle w:val="Cabealho"/>
      <w:pBdr>
        <w:bottom w:val="single" w:sz="4" w:space="1" w:color="auto"/>
      </w:pBdr>
      <w:jc w:val="center"/>
      <w:rPr>
        <w:rFonts w:ascii="Times New Roman" w:hAnsi="Times New Roman"/>
        <w:i/>
        <w:sz w:val="20"/>
      </w:rPr>
    </w:pPr>
    <w:r>
      <w:rPr>
        <w:sz w:val="16"/>
      </w:rPr>
      <w:t>ANEXO 7 ao Contrato de Inter</w:t>
    </w:r>
    <w:r w:rsidR="00871897">
      <w:rPr>
        <w:sz w:val="16"/>
      </w:rPr>
      <w:t xml:space="preserve">conexão </w:t>
    </w:r>
    <w:r w:rsidR="00246A25">
      <w:rPr>
        <w:sz w:val="16"/>
      </w:rPr>
      <w:t>Rede Fixa</w:t>
    </w:r>
  </w:p>
  <w:p w:rsidR="00D349F4" w:rsidRDefault="00D349F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93"/>
    </w:tblGrid>
    <w:tr w:rsidR="00D349F4">
      <w:trPr>
        <w:cantSplit/>
      </w:trPr>
      <w:tc>
        <w:tcPr>
          <w:tcW w:w="9993" w:type="dxa"/>
        </w:tcPr>
        <w:p w:rsidR="00D349F4" w:rsidRDefault="00D349F4">
          <w:pPr>
            <w:pStyle w:val="Cabealho"/>
            <w:jc w:val="center"/>
            <w:rPr>
              <w:rFonts w:ascii="Times New Roman" w:hAnsi="Times New Roman"/>
              <w:b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ANEXO 7 – Apêndice B -  Contrato de Interconexão Classe I – Modalidade Local - TELEMAR - Tele-X</w:t>
          </w:r>
        </w:p>
      </w:tc>
    </w:tr>
  </w:tbl>
  <w:p w:rsidR="00D349F4" w:rsidRDefault="00D349F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E643C"/>
    <w:multiLevelType w:val="multilevel"/>
    <w:tmpl w:val="D4C62F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993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1" w15:restartNumberingAfterBreak="0">
    <w:nsid w:val="699D05ED"/>
    <w:multiLevelType w:val="multilevel"/>
    <w:tmpl w:val="D4C62F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993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2" w15:restartNumberingAfterBreak="0">
    <w:nsid w:val="714E132F"/>
    <w:multiLevelType w:val="multilevel"/>
    <w:tmpl w:val="F5C4E1FA"/>
    <w:lvl w:ilvl="0">
      <w:start w:val="1"/>
      <w:numFmt w:val="decimal"/>
      <w:pStyle w:val="Ttulo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3686"/>
        </w:tabs>
        <w:ind w:left="3686" w:hanging="993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3" w15:restartNumberingAfterBreak="0">
    <w:nsid w:val="73D3425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3B"/>
    <w:rsid w:val="000654DD"/>
    <w:rsid w:val="000B171F"/>
    <w:rsid w:val="001013D8"/>
    <w:rsid w:val="00137038"/>
    <w:rsid w:val="00246A25"/>
    <w:rsid w:val="003017FB"/>
    <w:rsid w:val="00457A84"/>
    <w:rsid w:val="00497229"/>
    <w:rsid w:val="005815D7"/>
    <w:rsid w:val="0067050D"/>
    <w:rsid w:val="0082113B"/>
    <w:rsid w:val="00847A08"/>
    <w:rsid w:val="00871897"/>
    <w:rsid w:val="009848C3"/>
    <w:rsid w:val="009D21C7"/>
    <w:rsid w:val="009E7CB6"/>
    <w:rsid w:val="00A1287B"/>
    <w:rsid w:val="00A265D5"/>
    <w:rsid w:val="00AF0315"/>
    <w:rsid w:val="00BB7C08"/>
    <w:rsid w:val="00D349F4"/>
    <w:rsid w:val="00F24157"/>
    <w:rsid w:val="00F3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4871D2-7AA4-4080-BD55-C063BE74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Lines/>
      <w:numPr>
        <w:numId w:val="3"/>
      </w:numPr>
      <w:suppressAutoHyphens/>
      <w:spacing w:before="80" w:after="8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3"/>
      </w:numPr>
      <w:suppressAutoHyphens/>
      <w:spacing w:before="80" w:after="8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3"/>
      </w:numPr>
      <w:suppressAutoHyphens/>
      <w:spacing w:before="80" w:after="8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3"/>
      </w:numPr>
      <w:suppressAutoHyphens/>
      <w:spacing w:before="80" w:after="80"/>
      <w:outlineLvl w:val="3"/>
    </w:pPr>
  </w:style>
  <w:style w:type="paragraph" w:styleId="Ttulo5">
    <w:name w:val="heading 5"/>
    <w:basedOn w:val="Normal"/>
    <w:next w:val="Normal"/>
    <w:qFormat/>
    <w:pPr>
      <w:numPr>
        <w:ilvl w:val="4"/>
        <w:numId w:val="3"/>
      </w:numPr>
      <w:spacing w:before="240" w:after="60"/>
      <w:outlineLvl w:val="4"/>
    </w:pPr>
  </w:style>
  <w:style w:type="paragraph" w:styleId="Ttulo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</w:rPr>
  </w:style>
  <w:style w:type="paragraph" w:styleId="Ttulo7">
    <w:name w:val="heading 7"/>
    <w:basedOn w:val="Normal"/>
    <w:next w:val="Normal"/>
    <w:qFormat/>
    <w:pPr>
      <w:numPr>
        <w:ilvl w:val="6"/>
        <w:numId w:val="3"/>
      </w:numPr>
      <w:spacing w:before="240" w:after="60"/>
      <w:outlineLvl w:val="6"/>
    </w:pPr>
    <w:rPr>
      <w:sz w:val="20"/>
    </w:rPr>
  </w:style>
  <w:style w:type="paragraph" w:styleId="Ttulo8">
    <w:name w:val="heading 8"/>
    <w:basedOn w:val="Normal"/>
    <w:next w:val="Normal"/>
    <w:qFormat/>
    <w:pPr>
      <w:numPr>
        <w:ilvl w:val="7"/>
        <w:numId w:val="3"/>
      </w:numPr>
      <w:spacing w:before="240" w:after="60"/>
      <w:outlineLvl w:val="7"/>
    </w:pPr>
    <w:rPr>
      <w:i/>
      <w:sz w:val="20"/>
    </w:rPr>
  </w:style>
  <w:style w:type="paragraph" w:styleId="Ttulo9">
    <w:name w:val="heading 9"/>
    <w:basedOn w:val="Normal"/>
    <w:next w:val="Normal"/>
    <w:qFormat/>
    <w:pPr>
      <w:numPr>
        <w:ilvl w:val="8"/>
        <w:numId w:val="3"/>
      </w:numPr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pPr>
      <w:pBdr>
        <w:top w:val="single" w:sz="8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52EB0-5BC2-4448-A68B-7BEF4534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ao Contrato de Interconexão</vt:lpstr>
    </vt:vector>
  </TitlesOfParts>
  <Company>Oi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ao Contrato de Interconexão</dc:title>
  <dc:creator>profile</dc:creator>
  <cp:lastModifiedBy>Carolina Esteves</cp:lastModifiedBy>
  <cp:revision>7</cp:revision>
  <cp:lastPrinted>2021-10-04T21:57:00Z</cp:lastPrinted>
  <dcterms:created xsi:type="dcterms:W3CDTF">2018-09-21T17:58:00Z</dcterms:created>
  <dcterms:modified xsi:type="dcterms:W3CDTF">2021-10-04T21:57:00Z</dcterms:modified>
</cp:coreProperties>
</file>